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新余学院建校40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标识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及吉祥物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学院将迎来建校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为更好地展示学校形象，传承学校精神，现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集新余学院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建校40周年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吉祥物设计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诚盼广大师生、四海校友、社会贤达挥毫泼墨，贡献智慧。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具体事项如下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征集时间：从即日起至2024年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二、征集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建校40周年主题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设计主题：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主题鲜明，寓意深刻。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作为学校建校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40周年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系列活动的主题形象符号，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诠释学校40年历史积淀与办学特色，传递学校“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求真、求实、求善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”的校训精神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文化内涵，彰显学校在教育领域的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办学特色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。鼓励结合新余市的地域特色、文化背景以及新时代的教育理念。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设计风格：风格应简洁大气，既能反映学校的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内涵文化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又具有现代感和创新性。色彩搭配和谐，符合视觉传播的基本要求，设计中应避免使用过多的颜色，确保标识的清晰度和辨识度。图案、文字与符号应当富有创意，能够在多种媒介和背景下良好呈现，保证标识在不同尺寸、不同材质上的适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（二）吉祥物设计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主题鲜明，用设计孕育出独具特色的“新院代言人”，生动活泼、朝气蓬勃，富有表现力和生命力。作品中应充分展现出校园文化特色，具有学校独特元素，如：办学理念、校训精神、校徽等。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应具有象征性，造型新颖、创意鲜活、色调和谐，命名大气得体、易于记忆且发音无歧义。具有拟人化特征并富有亲和力，设计风格不限，但应符合中国法律和中国社会公序良俗的要求。适用于平面、立体传播和再创作，适用于不同载体对其表现形式的需要，具有产品产生和开发价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3.吉祥物的绘制形象可以由单幅图稿表现，也可以由不同情境、姿态和色彩的多幅图稿组成。如能提供正面图、侧面图、背面图和连续动态图更佳。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三、投稿要求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应征者需提交《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征集报名表》（见附件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）和A4规格设计方案电子文件（设计源文件CDR、AI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PSD格式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等可编辑版本，分辨率不得低于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300dpi；同时提供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预览版本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JPG格式，不小于3M）。内容为黑白稿、彩色稿（注明RGB和CMYK色值）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吉祥物三视图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附以500字以内的设计理念说明或内涵注释。手绘稿请扫描为电子版提交。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）作品电子版以附件形式发送至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77250404@qq.com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。邮件主题填写为“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与吉祥物设计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”。请务必注明作者姓名、单位、联系方式等信息。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）本次征集可以个人身份单独投稿，也可以单位或集体名义投稿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可以投交多件作品。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四、评选奖励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（一）学校将组织有关专家对应征作品进行评选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评选结果将通过学校官方渠道进行公布。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获奖作品将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给予一定的奖励。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与吉祥物设计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者应根据学校要求对作品进行适当修改或组合完善，形成最终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和吉祥物的设计稿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（一）应征作品须为原创作品，拥有作品完全版权，此前未以任何形式发表。应征作品不得侵犯第三方知识产权，不得一稿多投，如涉及剽窃、抄袭、借用等侵权行为，作者承担一切法律责任。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（二）所有入围作品的知识产权和使用权均归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学院所有。学校有权对作品进行修改、组合以及在各类宣传活动中使用。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）来稿作品无论入选与否均不予退还，请作者自留底稿。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（四）本次征集活动最终解释权归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学院所有。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陈老师；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18679018600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新余学院迎接建校40周年工作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领导小组办公室宣传组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剽窃、抄袭、借用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，与征集单位无关。本作品被采用后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念、内涵注释等）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NmYTZkNjdlZmUwM2U3YjU5NTljZTU2YzIwMGQifQ=="/>
  </w:docVars>
  <w:rsids>
    <w:rsidRoot w:val="7CBD4168"/>
    <w:rsid w:val="09F743E5"/>
    <w:rsid w:val="12F37B3E"/>
    <w:rsid w:val="14CE25C2"/>
    <w:rsid w:val="2190669F"/>
    <w:rsid w:val="2B3252EB"/>
    <w:rsid w:val="3D8878E5"/>
    <w:rsid w:val="47A4574B"/>
    <w:rsid w:val="50533347"/>
    <w:rsid w:val="51EC1E59"/>
    <w:rsid w:val="54645881"/>
    <w:rsid w:val="552664D4"/>
    <w:rsid w:val="572F7D0C"/>
    <w:rsid w:val="5C550FDC"/>
    <w:rsid w:val="67E91DD1"/>
    <w:rsid w:val="68745AFB"/>
    <w:rsid w:val="77F2444E"/>
    <w:rsid w:val="79724544"/>
    <w:rsid w:val="7CB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1696</Words>
  <Characters>1764</Characters>
  <Lines>0</Lines>
  <Paragraphs>0</Paragraphs>
  <TotalTime>135</TotalTime>
  <ScaleCrop>false</ScaleCrop>
  <LinksUpToDate>false</LinksUpToDate>
  <CharactersWithSpaces>1797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2024-08-20T07:04:00Z</dcterms:created>
  <dc:creator>彭昭亮</dc:creator>
  <cp:lastModifiedBy>廖林强</cp:lastModifiedBy>
  <cp:lastPrinted>2024-11-07T02:15:00Z</cp:lastPrinted>
  <dcterms:modified xsi:type="dcterms:W3CDTF">2024-11-07T11:29:46Z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DDB2E6EACF904CA49DEE3D0A3B3414BC</vt:lpwstr>
  </property>
</Properties>
</file>